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AE3" w:rsidRPr="00E03AE3" w:rsidRDefault="00E03AE3" w:rsidP="00E03AE3">
      <w:pPr>
        <w:pStyle w:val="Default"/>
        <w:jc w:val="center"/>
        <w:rPr>
          <w:b/>
          <w:bCs/>
        </w:rPr>
      </w:pPr>
      <w:r w:rsidRPr="00E03AE3">
        <w:rPr>
          <w:b/>
          <w:bCs/>
        </w:rPr>
        <w:t>RAP 10.8</w:t>
      </w:r>
    </w:p>
    <w:p w:rsidR="00E03AE3" w:rsidRDefault="00E03AE3" w:rsidP="00E03AE3">
      <w:pPr>
        <w:pStyle w:val="Default"/>
        <w:jc w:val="center"/>
        <w:rPr>
          <w:b/>
          <w:bCs/>
        </w:rPr>
      </w:pPr>
      <w:r w:rsidRPr="00E03AE3">
        <w:rPr>
          <w:b/>
          <w:bCs/>
        </w:rPr>
        <w:t>ADDITIONAL AUTHORITIES</w:t>
      </w:r>
    </w:p>
    <w:p w:rsidR="00A63245" w:rsidRPr="00E03AE3" w:rsidRDefault="00A63245" w:rsidP="00E03AE3">
      <w:pPr>
        <w:pStyle w:val="Default"/>
        <w:jc w:val="center"/>
      </w:pPr>
    </w:p>
    <w:p w:rsidR="00E03AE3" w:rsidRPr="00E03AE3" w:rsidRDefault="00E03AE3" w:rsidP="00E03AE3">
      <w:pPr>
        <w:rPr>
          <w:rFonts w:ascii="Times New Roman" w:hAnsi="Times New Roman"/>
          <w:sz w:val="24"/>
          <w:szCs w:val="24"/>
          <w:u w:val="single"/>
        </w:rPr>
      </w:pPr>
      <w:r w:rsidRPr="00E03AE3">
        <w:rPr>
          <w:rFonts w:ascii="Times New Roman" w:hAnsi="Times New Roman"/>
          <w:b/>
          <w:sz w:val="24"/>
          <w:szCs w:val="24"/>
          <w:u w:val="single"/>
        </w:rPr>
        <w:t>(a) Generally.</w:t>
      </w:r>
      <w:r w:rsidRPr="00E03AE3">
        <w:rPr>
          <w:rFonts w:ascii="Times New Roman" w:hAnsi="Times New Roman"/>
          <w:sz w:val="24"/>
          <w:szCs w:val="24"/>
        </w:rPr>
        <w:t xml:space="preserve"> A party or amicus curiae may file a statement of additional authorities. </w:t>
      </w:r>
      <w:r w:rsidRPr="00E03AE3">
        <w:rPr>
          <w:rFonts w:ascii="Times New Roman" w:hAnsi="Times New Roman"/>
          <w:strike/>
          <w:sz w:val="24"/>
          <w:szCs w:val="24"/>
        </w:rPr>
        <w:t>The statement should not contain argument, but should identify the issue for which each authority is offered.</w:t>
      </w:r>
      <w:r w:rsidRPr="00E03AE3">
        <w:rPr>
          <w:rFonts w:ascii="Times New Roman" w:hAnsi="Times New Roman"/>
          <w:sz w:val="24"/>
          <w:szCs w:val="24"/>
        </w:rPr>
        <w:t xml:space="preserve"> </w:t>
      </w:r>
      <w:r w:rsidRPr="00E03AE3">
        <w:rPr>
          <w:rFonts w:ascii="Times New Roman" w:hAnsi="Times New Roman"/>
          <w:sz w:val="24"/>
          <w:szCs w:val="24"/>
          <w:u w:val="single"/>
        </w:rPr>
        <w:t xml:space="preserve">The additional authorities must relate to a point made in the briefing or at oral argument. </w:t>
      </w:r>
    </w:p>
    <w:p w:rsidR="00E03AE3" w:rsidRPr="00E03AE3" w:rsidRDefault="00E03AE3" w:rsidP="00E03AE3">
      <w:pPr>
        <w:rPr>
          <w:rFonts w:ascii="Times New Roman" w:hAnsi="Times New Roman"/>
          <w:sz w:val="24"/>
          <w:szCs w:val="24"/>
          <w:u w:val="single"/>
        </w:rPr>
      </w:pPr>
      <w:r w:rsidRPr="00E03AE3">
        <w:rPr>
          <w:rFonts w:ascii="Times New Roman" w:hAnsi="Times New Roman"/>
          <w:b/>
          <w:sz w:val="24"/>
          <w:szCs w:val="24"/>
          <w:u w:val="single"/>
        </w:rPr>
        <w:t>(b) Contents.</w:t>
      </w:r>
      <w:r w:rsidRPr="00E03AE3">
        <w:rPr>
          <w:rFonts w:ascii="Times New Roman" w:hAnsi="Times New Roman"/>
          <w:sz w:val="24"/>
          <w:szCs w:val="24"/>
          <w:u w:val="single"/>
        </w:rPr>
        <w:t xml:space="preserve"> The statement must include argument explaining the reasons for the additional authorities and must include a pinpoint citation either to the pertinent page of the brief or to a point argued orally. The body of the statement must not exceed 350 words (word processing s</w:t>
      </w:r>
      <w:r w:rsidR="00E15C8E">
        <w:rPr>
          <w:rFonts w:ascii="Times New Roman" w:hAnsi="Times New Roman"/>
          <w:sz w:val="24"/>
          <w:szCs w:val="24"/>
          <w:u w:val="single"/>
        </w:rPr>
        <w:t>oftware) or one page (typewritten</w:t>
      </w:r>
      <w:r w:rsidRPr="00E03AE3">
        <w:rPr>
          <w:rFonts w:ascii="Times New Roman" w:hAnsi="Times New Roman"/>
          <w:sz w:val="24"/>
          <w:szCs w:val="24"/>
          <w:u w:val="single"/>
        </w:rPr>
        <w:t xml:space="preserve"> or handwritten). The statement of additional authorities shall be accompanied by a certificate of compliance as set forth in RAP 18.17(b).</w:t>
      </w:r>
    </w:p>
    <w:p w:rsidR="00E03AE3" w:rsidRPr="00E03AE3" w:rsidRDefault="00E03AE3" w:rsidP="00E03AE3">
      <w:pPr>
        <w:rPr>
          <w:rFonts w:ascii="Times New Roman" w:hAnsi="Times New Roman"/>
          <w:sz w:val="24"/>
          <w:szCs w:val="24"/>
          <w:u w:val="single"/>
        </w:rPr>
      </w:pPr>
      <w:r w:rsidRPr="00E03AE3">
        <w:rPr>
          <w:rFonts w:ascii="Times New Roman" w:hAnsi="Times New Roman"/>
          <w:b/>
          <w:sz w:val="24"/>
          <w:szCs w:val="24"/>
          <w:u w:val="single"/>
        </w:rPr>
        <w:t>(c) Timing.</w:t>
      </w:r>
      <w:r w:rsidRPr="00E03AE3">
        <w:rPr>
          <w:rFonts w:ascii="Times New Roman" w:hAnsi="Times New Roman"/>
          <w:color w:val="FF0000"/>
          <w:sz w:val="24"/>
          <w:szCs w:val="24"/>
        </w:rPr>
        <w:t xml:space="preserve"> </w:t>
      </w:r>
      <w:r w:rsidRPr="00E03AE3">
        <w:rPr>
          <w:rFonts w:ascii="Times New Roman" w:hAnsi="Times New Roman"/>
          <w:sz w:val="24"/>
          <w:szCs w:val="24"/>
        </w:rPr>
        <w:t xml:space="preserve">The statement must be served and filed </w:t>
      </w:r>
      <w:r w:rsidRPr="00E03AE3">
        <w:rPr>
          <w:rFonts w:ascii="Times New Roman" w:hAnsi="Times New Roman"/>
          <w:sz w:val="24"/>
          <w:szCs w:val="24"/>
          <w:u w:val="single"/>
        </w:rPr>
        <w:t>promptly, before</w:t>
      </w:r>
      <w:r w:rsidRPr="00E03AE3">
        <w:rPr>
          <w:rFonts w:ascii="Times New Roman" w:hAnsi="Times New Roman"/>
          <w:sz w:val="24"/>
          <w:szCs w:val="24"/>
        </w:rPr>
        <w:t xml:space="preserve"> </w:t>
      </w:r>
      <w:r w:rsidRPr="00E03AE3">
        <w:rPr>
          <w:rFonts w:ascii="Times New Roman" w:hAnsi="Times New Roman"/>
          <w:strike/>
          <w:sz w:val="24"/>
          <w:szCs w:val="24"/>
        </w:rPr>
        <w:t>prior to</w:t>
      </w:r>
      <w:r w:rsidRPr="00E03AE3">
        <w:rPr>
          <w:rFonts w:ascii="Times New Roman" w:hAnsi="Times New Roman"/>
          <w:sz w:val="24"/>
          <w:szCs w:val="24"/>
        </w:rPr>
        <w:t xml:space="preserve"> the filing of the decision on the merits or, if there is a motion for reconsideration, </w:t>
      </w:r>
      <w:r w:rsidRPr="00E03AE3">
        <w:rPr>
          <w:rFonts w:ascii="Times New Roman" w:hAnsi="Times New Roman"/>
          <w:sz w:val="24"/>
          <w:szCs w:val="24"/>
          <w:u w:val="single"/>
        </w:rPr>
        <w:t>before</w:t>
      </w:r>
      <w:r w:rsidRPr="00E03AE3">
        <w:rPr>
          <w:rFonts w:ascii="Times New Roman" w:hAnsi="Times New Roman"/>
          <w:sz w:val="24"/>
          <w:szCs w:val="24"/>
        </w:rPr>
        <w:t xml:space="preserve"> </w:t>
      </w:r>
      <w:r w:rsidRPr="00E03AE3">
        <w:rPr>
          <w:rFonts w:ascii="Times New Roman" w:hAnsi="Times New Roman"/>
          <w:strike/>
          <w:sz w:val="24"/>
          <w:szCs w:val="24"/>
        </w:rPr>
        <w:t>prior to</w:t>
      </w:r>
      <w:r w:rsidRPr="00E03AE3">
        <w:rPr>
          <w:rFonts w:ascii="Times New Roman" w:hAnsi="Times New Roman"/>
          <w:sz w:val="24"/>
          <w:szCs w:val="24"/>
        </w:rPr>
        <w:t xml:space="preserve"> the filing of the decision on the motion. </w:t>
      </w:r>
      <w:r w:rsidR="00E15C8E">
        <w:rPr>
          <w:rFonts w:ascii="Times New Roman" w:hAnsi="Times New Roman"/>
          <w:strike/>
          <w:sz w:val="24"/>
          <w:szCs w:val="24"/>
        </w:rPr>
        <w:t>The statement should comply with the formatting requirements of RAP 18.17.</w:t>
      </w:r>
      <w:r w:rsidR="00E15C8E">
        <w:rPr>
          <w:rFonts w:ascii="Times New Roman" w:hAnsi="Times New Roman"/>
          <w:sz w:val="24"/>
          <w:szCs w:val="24"/>
        </w:rPr>
        <w:t xml:space="preserve"> </w:t>
      </w:r>
      <w:bookmarkStart w:id="0" w:name="_GoBack"/>
      <w:bookmarkEnd w:id="0"/>
      <w:r w:rsidRPr="00E03AE3">
        <w:rPr>
          <w:rFonts w:ascii="Times New Roman" w:hAnsi="Times New Roman"/>
          <w:sz w:val="24"/>
          <w:szCs w:val="24"/>
          <w:u w:val="single"/>
        </w:rPr>
        <w:t xml:space="preserve">A party or amicus seeking to submit additional authorities before oral argument, or the date on which the case is scheduled to be decided without oral argument, must file the statement no later than </w:t>
      </w:r>
      <w:r w:rsidR="00E15C8E">
        <w:rPr>
          <w:rFonts w:ascii="Times New Roman" w:hAnsi="Times New Roman"/>
          <w:sz w:val="24"/>
          <w:szCs w:val="24"/>
          <w:u w:val="single"/>
        </w:rPr>
        <w:t>seven</w:t>
      </w:r>
      <w:r w:rsidRPr="00E03AE3">
        <w:rPr>
          <w:rFonts w:ascii="Times New Roman" w:hAnsi="Times New Roman"/>
          <w:sz w:val="24"/>
          <w:szCs w:val="24"/>
          <w:u w:val="single"/>
        </w:rPr>
        <w:t xml:space="preserve"> days before the date scheduled for argument or consideration without argument. The </w:t>
      </w:r>
      <w:r w:rsidR="00E15C8E">
        <w:rPr>
          <w:rFonts w:ascii="Times New Roman" w:hAnsi="Times New Roman"/>
          <w:sz w:val="24"/>
          <w:szCs w:val="24"/>
          <w:u w:val="single"/>
        </w:rPr>
        <w:t>seven</w:t>
      </w:r>
      <w:r w:rsidRPr="00E03AE3">
        <w:rPr>
          <w:rFonts w:ascii="Times New Roman" w:hAnsi="Times New Roman"/>
          <w:sz w:val="24"/>
          <w:szCs w:val="24"/>
          <w:u w:val="single"/>
        </w:rPr>
        <w:t xml:space="preserve">-day deadline does not apply where new authority has been issued less than </w:t>
      </w:r>
      <w:r w:rsidR="00E15C8E">
        <w:rPr>
          <w:rFonts w:ascii="Times New Roman" w:hAnsi="Times New Roman"/>
          <w:sz w:val="24"/>
          <w:szCs w:val="24"/>
          <w:u w:val="single"/>
        </w:rPr>
        <w:t>seven</w:t>
      </w:r>
      <w:r w:rsidRPr="00E03AE3">
        <w:rPr>
          <w:rFonts w:ascii="Times New Roman" w:hAnsi="Times New Roman"/>
          <w:sz w:val="24"/>
          <w:szCs w:val="24"/>
          <w:u w:val="single"/>
        </w:rPr>
        <w:t xml:space="preserve"> days before scheduled oral argument or consideration without oral argument. </w:t>
      </w:r>
    </w:p>
    <w:p w:rsidR="00E03AE3" w:rsidRPr="00E03AE3" w:rsidRDefault="00E03AE3" w:rsidP="00E03AE3">
      <w:pPr>
        <w:rPr>
          <w:rFonts w:ascii="Times New Roman" w:hAnsi="Times New Roman"/>
          <w:sz w:val="24"/>
          <w:szCs w:val="24"/>
        </w:rPr>
      </w:pPr>
      <w:r w:rsidRPr="00E03AE3">
        <w:rPr>
          <w:rFonts w:ascii="Times New Roman" w:hAnsi="Times New Roman"/>
          <w:b/>
          <w:sz w:val="24"/>
          <w:szCs w:val="24"/>
          <w:u w:val="single"/>
        </w:rPr>
        <w:t>(d) Response.</w:t>
      </w:r>
      <w:r w:rsidRPr="00E03AE3">
        <w:rPr>
          <w:rFonts w:ascii="Times New Roman" w:hAnsi="Times New Roman"/>
          <w:sz w:val="24"/>
          <w:szCs w:val="24"/>
          <w:u w:val="single"/>
        </w:rPr>
        <w:t xml:space="preserve"> Any response to the statement of additional authorities must be filed within </w:t>
      </w:r>
      <w:r w:rsidR="00E15C8E">
        <w:rPr>
          <w:rFonts w:ascii="Times New Roman" w:hAnsi="Times New Roman"/>
          <w:sz w:val="24"/>
          <w:szCs w:val="24"/>
          <w:u w:val="single"/>
        </w:rPr>
        <w:t>seven</w:t>
      </w:r>
      <w:r w:rsidRPr="00E03AE3">
        <w:rPr>
          <w:rFonts w:ascii="Times New Roman" w:hAnsi="Times New Roman"/>
          <w:sz w:val="24"/>
          <w:szCs w:val="24"/>
          <w:u w:val="single"/>
        </w:rPr>
        <w:t xml:space="preserve"> days after the statement is filed and also must be limited to 350 words (word processing s</w:t>
      </w:r>
      <w:r w:rsidR="00E15C8E">
        <w:rPr>
          <w:rFonts w:ascii="Times New Roman" w:hAnsi="Times New Roman"/>
          <w:sz w:val="24"/>
          <w:szCs w:val="24"/>
          <w:u w:val="single"/>
        </w:rPr>
        <w:t>oftware) or one page (typewritten</w:t>
      </w:r>
      <w:r w:rsidRPr="00E03AE3">
        <w:rPr>
          <w:rFonts w:ascii="Times New Roman" w:hAnsi="Times New Roman"/>
          <w:sz w:val="24"/>
          <w:szCs w:val="24"/>
          <w:u w:val="single"/>
        </w:rPr>
        <w:t xml:space="preserve"> or handwritten). The response shall be accompanied by a certificate of compliance as set forth in RAP 18.17(b). </w:t>
      </w:r>
    </w:p>
    <w:sectPr w:rsidR="00E03AE3" w:rsidRPr="00E03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AE3"/>
    <w:rsid w:val="00846FD0"/>
    <w:rsid w:val="00A63245"/>
    <w:rsid w:val="00E03AE3"/>
    <w:rsid w:val="00E1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0D3D2-A439-4964-89C9-0FA61C8C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AE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3AE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3</cp:revision>
  <dcterms:created xsi:type="dcterms:W3CDTF">2022-01-13T21:47:00Z</dcterms:created>
  <dcterms:modified xsi:type="dcterms:W3CDTF">2022-01-13T21:57:00Z</dcterms:modified>
</cp:coreProperties>
</file>